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29" w:rsidRDefault="007F0C29" w:rsidP="007F0C29">
      <w:pPr>
        <w:tabs>
          <w:tab w:val="left" w:pos="90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97D2C" w:rsidRDefault="007F0C29" w:rsidP="007F0C29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Порівняльний</w:t>
      </w:r>
      <w:r w:rsidRPr="003D05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аналіз</w:t>
      </w:r>
      <w:r w:rsidRPr="003D0597">
        <w:rPr>
          <w:rFonts w:ascii="Times New Roman" w:hAnsi="Times New Roman"/>
          <w:b/>
          <w:sz w:val="28"/>
          <w:szCs w:val="28"/>
          <w:lang w:val="uk-UA"/>
        </w:rPr>
        <w:t xml:space="preserve"> рівня розвитку дітей старших дошкільників</w:t>
      </w:r>
      <w:r w:rsidR="00F97D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F0C29" w:rsidRPr="003D0597" w:rsidRDefault="00F97D2C" w:rsidP="007F0C29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2018/2019 навчальний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F0C29" w:rsidRPr="00616D2F" w:rsidTr="00F56CDB">
        <w:trPr>
          <w:tblHeader/>
        </w:trPr>
        <w:tc>
          <w:tcPr>
            <w:tcW w:w="2392" w:type="dxa"/>
            <w:vAlign w:val="center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Оцінка прояву показників компетентності дітей</w:t>
            </w:r>
          </w:p>
        </w:tc>
        <w:tc>
          <w:tcPr>
            <w:tcW w:w="2393" w:type="dxa"/>
            <w:vAlign w:val="center"/>
          </w:tcPr>
          <w:p w:rsidR="00F97D2C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І півріччя</w:t>
            </w:r>
          </w:p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201</w:t>
            </w:r>
            <w:r w:rsidR="00F97D2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8</w:t>
            </w:r>
            <w:r w:rsidRPr="00616D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/201</w:t>
            </w:r>
            <w:r w:rsidR="00F97D2C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9</w:t>
            </w:r>
          </w:p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навчальний рік</w:t>
            </w:r>
          </w:p>
        </w:tc>
        <w:tc>
          <w:tcPr>
            <w:tcW w:w="2393" w:type="dxa"/>
            <w:vAlign w:val="center"/>
          </w:tcPr>
          <w:p w:rsidR="00F97D2C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ІІ півріччя</w:t>
            </w:r>
          </w:p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2018/2019</w:t>
            </w:r>
          </w:p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навчальний рік</w:t>
            </w:r>
          </w:p>
        </w:tc>
        <w:tc>
          <w:tcPr>
            <w:tcW w:w="2393" w:type="dxa"/>
            <w:vAlign w:val="center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Динаміка</w:t>
            </w:r>
          </w:p>
        </w:tc>
      </w:tr>
      <w:tr w:rsidR="007F0C29" w:rsidRPr="00616D2F" w:rsidTr="00F56CDB">
        <w:tc>
          <w:tcPr>
            <w:tcW w:w="9571" w:type="dxa"/>
            <w:gridSpan w:val="4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Освітня лінія «Особистість дитини»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високий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31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34%</w:t>
            </w:r>
          </w:p>
        </w:tc>
        <w:tc>
          <w:tcPr>
            <w:tcW w:w="2393" w:type="dxa"/>
          </w:tcPr>
          <w:p w:rsidR="007F0C29" w:rsidRPr="00616D2F" w:rsidRDefault="007F0C29" w:rsidP="00F9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+</w:t>
            </w:r>
            <w:r w:rsidR="00F97D2C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достатній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62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59%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–3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середній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5 %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+0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низький рівень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2%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2%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0%</w:t>
            </w:r>
          </w:p>
        </w:tc>
      </w:tr>
      <w:tr w:rsidR="007F0C29" w:rsidRPr="00616D2F" w:rsidTr="00F56CDB">
        <w:tc>
          <w:tcPr>
            <w:tcW w:w="9571" w:type="dxa"/>
            <w:gridSpan w:val="4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Освітня лінія «Дитина у соціумі»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високий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17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37%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      +20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достатній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71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51%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–20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середній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7%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–0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низький рівень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0%</w:t>
            </w:r>
          </w:p>
        </w:tc>
      </w:tr>
      <w:tr w:rsidR="007F0C29" w:rsidRPr="00616D2F" w:rsidTr="00F56CDB">
        <w:tc>
          <w:tcPr>
            <w:tcW w:w="9571" w:type="dxa"/>
            <w:gridSpan w:val="4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Освітня лінія «Дитина у природному довкіллі»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високий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24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69%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+45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достатній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57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24%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–33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середній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14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5%</w:t>
            </w:r>
          </w:p>
        </w:tc>
        <w:tc>
          <w:tcPr>
            <w:tcW w:w="2393" w:type="dxa"/>
          </w:tcPr>
          <w:p w:rsidR="007F0C29" w:rsidRPr="00616D2F" w:rsidRDefault="007F0C29" w:rsidP="00F9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–</w:t>
            </w:r>
            <w:r w:rsidR="00F97D2C">
              <w:rPr>
                <w:rFonts w:ascii="Times New Roman" w:hAnsi="Times New Roman"/>
                <w:sz w:val="24"/>
                <w:szCs w:val="28"/>
                <w:lang w:val="uk-UA"/>
              </w:rPr>
              <w:t>9</w:t>
            </w: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низький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2%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9571" w:type="dxa"/>
            <w:gridSpan w:val="4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Освітня лінія «Дитина у світі культури»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високий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10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37%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+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27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достатній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78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53%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+2</w:t>
            </w:r>
            <w:r w:rsidR="00F97D2C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середній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5%</w:t>
            </w:r>
          </w:p>
        </w:tc>
        <w:tc>
          <w:tcPr>
            <w:tcW w:w="2393" w:type="dxa"/>
          </w:tcPr>
          <w:p w:rsidR="007F0C29" w:rsidRPr="00616D2F" w:rsidRDefault="007F0C29" w:rsidP="00F97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–</w:t>
            </w:r>
            <w:r w:rsidR="00F97D2C">
              <w:rPr>
                <w:rFonts w:ascii="Times New Roman" w:hAnsi="Times New Roman"/>
                <w:sz w:val="24"/>
                <w:szCs w:val="28"/>
                <w:lang w:val="uk-UA"/>
              </w:rPr>
              <w:t>2</w:t>
            </w: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низький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0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9571" w:type="dxa"/>
            <w:gridSpan w:val="4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Освітня лінія «Гра дитини»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високий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1%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73%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+3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2%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достатній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52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23%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+29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середній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2%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–3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низький рівень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2%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2%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0%</w:t>
            </w:r>
          </w:p>
        </w:tc>
      </w:tr>
      <w:tr w:rsidR="007F0C29" w:rsidRPr="00616D2F" w:rsidTr="00F56CDB">
        <w:tc>
          <w:tcPr>
            <w:tcW w:w="9571" w:type="dxa"/>
            <w:gridSpan w:val="4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Освітня лінія «Дитина в сенсорно-пізнавальному просторі»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високий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31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49%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+18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достатній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52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41%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–11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середній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–7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низький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0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9571" w:type="dxa"/>
            <w:gridSpan w:val="4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Освітня лінія «Мовлення дитини»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високий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12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32%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+20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достатній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52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49%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+3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середній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31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14%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–17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  <w:tr w:rsidR="007F0C29" w:rsidRPr="00616D2F" w:rsidTr="00F56CDB">
        <w:tc>
          <w:tcPr>
            <w:tcW w:w="2392" w:type="dxa"/>
          </w:tcPr>
          <w:p w:rsidR="007F0C29" w:rsidRPr="00616D2F" w:rsidRDefault="007F0C29" w:rsidP="00F56C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низький рівень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2393" w:type="dxa"/>
          </w:tcPr>
          <w:p w:rsidR="007F0C29" w:rsidRPr="00616D2F" w:rsidRDefault="007F0C29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616D2F">
              <w:rPr>
                <w:rFonts w:ascii="Times New Roman" w:hAnsi="Times New Roman"/>
                <w:sz w:val="24"/>
                <w:szCs w:val="28"/>
                <w:lang w:val="uk-UA"/>
              </w:rPr>
              <w:t>5%</w:t>
            </w:r>
          </w:p>
        </w:tc>
        <w:tc>
          <w:tcPr>
            <w:tcW w:w="2393" w:type="dxa"/>
          </w:tcPr>
          <w:p w:rsidR="007F0C29" w:rsidRPr="00616D2F" w:rsidRDefault="00F97D2C" w:rsidP="00F5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0</w:t>
            </w:r>
            <w:r w:rsidR="007F0C29" w:rsidRPr="00616D2F">
              <w:rPr>
                <w:rFonts w:ascii="Times New Roman" w:hAnsi="Times New Roman"/>
                <w:sz w:val="24"/>
                <w:szCs w:val="28"/>
                <w:lang w:val="uk-UA"/>
              </w:rPr>
              <w:t>%</w:t>
            </w:r>
          </w:p>
        </w:tc>
      </w:tr>
    </w:tbl>
    <w:p w:rsidR="007F0C29" w:rsidRPr="00C80472" w:rsidRDefault="007F0C29" w:rsidP="007F0C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C29" w:rsidRDefault="007F0C29" w:rsidP="007F0C2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4C78">
        <w:rPr>
          <w:rFonts w:ascii="Times New Roman" w:hAnsi="Times New Roman"/>
          <w:sz w:val="28"/>
          <w:szCs w:val="28"/>
          <w:lang w:val="uk-UA"/>
        </w:rPr>
        <w:t>Аналізуючи узагальнені результати обстеження дітей шостого року життя, можна зробити висновок, що на кінець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24C78">
        <w:rPr>
          <w:rFonts w:ascii="Times New Roman" w:hAnsi="Times New Roman"/>
          <w:sz w:val="28"/>
          <w:szCs w:val="28"/>
          <w:lang w:val="uk-UA"/>
        </w:rPr>
        <w:t>/201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24C78">
        <w:rPr>
          <w:rFonts w:ascii="Times New Roman" w:hAnsi="Times New Roman"/>
          <w:sz w:val="28"/>
          <w:szCs w:val="28"/>
          <w:lang w:val="uk-UA"/>
        </w:rPr>
        <w:t xml:space="preserve"> навчального року збільшився відсоток дітей у яких показники компетентності  з різних видів життєдіяльності проявляються на достатньому та високому рівні. 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203668">
        <w:rPr>
          <w:rFonts w:ascii="Times New Roman" w:hAnsi="Times New Roman"/>
          <w:sz w:val="28"/>
          <w:szCs w:val="28"/>
          <w:lang w:val="uk-UA"/>
        </w:rPr>
        <w:t xml:space="preserve">ожна дитина в певній мірі реалізувала свій потенціал, вона жила та діяла на рівні своїх оптимальних вікових і індивідуальних можливостей. Упродовж навчального року чітко простежується тенденція позитивної динаміки змін щодо підвищення рівня </w:t>
      </w:r>
      <w:r w:rsidRPr="00203668">
        <w:rPr>
          <w:rFonts w:ascii="Times New Roman" w:hAnsi="Times New Roman"/>
          <w:sz w:val="28"/>
          <w:szCs w:val="28"/>
          <w:lang w:val="uk-UA"/>
        </w:rPr>
        <w:lastRenderedPageBreak/>
        <w:t>знань, умінь, навичок дітей.</w:t>
      </w:r>
      <w:r w:rsidRPr="003247D9">
        <w:rPr>
          <w:lang w:val="uk-UA"/>
        </w:rPr>
        <w:t xml:space="preserve"> </w:t>
      </w:r>
      <w:r w:rsidRPr="00724C78">
        <w:rPr>
          <w:rFonts w:ascii="Times New Roman" w:hAnsi="Times New Roman"/>
          <w:sz w:val="28"/>
          <w:szCs w:val="28"/>
          <w:lang w:val="uk-UA"/>
        </w:rPr>
        <w:t>Але залишається невеликий відсоток дітей у яких показники ко</w:t>
      </w:r>
      <w:r>
        <w:rPr>
          <w:rFonts w:ascii="Times New Roman" w:hAnsi="Times New Roman"/>
          <w:sz w:val="28"/>
          <w:szCs w:val="28"/>
          <w:lang w:val="uk-UA"/>
        </w:rPr>
        <w:t>мпетентності</w:t>
      </w:r>
      <w:r w:rsidRPr="00724C78">
        <w:rPr>
          <w:rFonts w:ascii="Times New Roman" w:hAnsi="Times New Roman"/>
          <w:sz w:val="28"/>
          <w:szCs w:val="28"/>
          <w:lang w:val="uk-UA"/>
        </w:rPr>
        <w:t xml:space="preserve"> з різних видів життєдіяльності виявляються не в повній мірі. Це в основному діти, які мають вади у здоров’ї та протягом року не завжди відвідували дошкільний заклад.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0C29" w:rsidRDefault="007F0C29" w:rsidP="007F0C2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24C78">
        <w:rPr>
          <w:rFonts w:ascii="Times New Roman" w:hAnsi="Times New Roman"/>
          <w:sz w:val="28"/>
          <w:szCs w:val="28"/>
          <w:lang w:val="uk-UA"/>
        </w:rPr>
        <w:t>Організовуючи навчальну діяльність з дітьми шостого року, педагогам слід систематично використовувати завдання творчого, експериментально-дослідницького, проблемно-пошукового характеру, планувати тематику занять таким чином, щоб вона була максимально пов’язана з реальним життям і нагальними  проблемами дітей, сприяти розвитку їхньої самостійності, творчому ставленню до життя, створювати умови, які спонукають дітей до пізнання оточуючого світу, самопізнання, роздумів, міркувань, творчості, розвитку ді</w:t>
      </w:r>
      <w:r>
        <w:rPr>
          <w:rFonts w:ascii="Times New Roman" w:hAnsi="Times New Roman"/>
          <w:sz w:val="28"/>
          <w:szCs w:val="28"/>
          <w:lang w:val="uk-UA"/>
        </w:rPr>
        <w:t>євого</w:t>
      </w:r>
      <w:r w:rsidRPr="00724C78">
        <w:rPr>
          <w:rFonts w:ascii="Times New Roman" w:hAnsi="Times New Roman"/>
          <w:sz w:val="28"/>
          <w:szCs w:val="28"/>
          <w:lang w:val="uk-UA"/>
        </w:rPr>
        <w:t xml:space="preserve"> та свідомого ставлення до оточуючого світу, що сукупно має ставати основою успішного формування життєвої компетентності дитини. </w:t>
      </w:r>
      <w:r>
        <w:rPr>
          <w:rFonts w:ascii="Times New Roman" w:hAnsi="Times New Roman"/>
          <w:sz w:val="28"/>
          <w:szCs w:val="28"/>
          <w:lang w:val="uk-UA"/>
        </w:rPr>
        <w:t xml:space="preserve">Тому </w:t>
      </w:r>
      <w:r w:rsidRPr="00D92B4B">
        <w:rPr>
          <w:rFonts w:ascii="Times New Roman" w:hAnsi="Times New Roman"/>
          <w:sz w:val="28"/>
          <w:szCs w:val="28"/>
          <w:lang w:val="uk-UA"/>
        </w:rPr>
        <w:t xml:space="preserve">в наступному навчальному році </w:t>
      </w:r>
      <w:r w:rsidRPr="001F1CA0">
        <w:rPr>
          <w:rFonts w:ascii="Times New Roman" w:hAnsi="Times New Roman"/>
          <w:sz w:val="28"/>
          <w:szCs w:val="28"/>
          <w:lang w:val="uk-UA"/>
        </w:rPr>
        <w:t xml:space="preserve">педагогічному колективу слід спрямувати роботу </w:t>
      </w:r>
      <w:r>
        <w:rPr>
          <w:rFonts w:ascii="Times New Roman" w:hAnsi="Times New Roman"/>
          <w:sz w:val="28"/>
          <w:szCs w:val="28"/>
          <w:lang w:val="uk-UA"/>
        </w:rPr>
        <w:t>щодо комунікативно-мовленнєвого розвитку дошкільників</w:t>
      </w:r>
      <w:r w:rsidRPr="00D92B4B">
        <w:rPr>
          <w:rFonts w:ascii="Times New Roman" w:hAnsi="Times New Roman"/>
          <w:sz w:val="28"/>
          <w:szCs w:val="28"/>
          <w:lang w:val="uk-UA"/>
        </w:rPr>
        <w:t>.</w:t>
      </w:r>
    </w:p>
    <w:p w:rsidR="007F0C29" w:rsidRDefault="007F0C29">
      <w:pPr>
        <w:rPr>
          <w:lang w:val="uk-UA"/>
        </w:rPr>
      </w:pPr>
    </w:p>
    <w:p w:rsidR="00B53C01" w:rsidRPr="007F0C29" w:rsidRDefault="00B53C01">
      <w:pPr>
        <w:rPr>
          <w:lang w:val="uk-UA"/>
        </w:rPr>
      </w:pPr>
    </w:p>
    <w:sectPr w:rsidR="00B53C01" w:rsidRPr="007F0C29" w:rsidSect="00E50E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F0C29"/>
    <w:rsid w:val="007F0C29"/>
    <w:rsid w:val="00B53C01"/>
    <w:rsid w:val="00DE1A6C"/>
    <w:rsid w:val="00E0641B"/>
    <w:rsid w:val="00E50E32"/>
    <w:rsid w:val="00F56CDB"/>
    <w:rsid w:val="00F9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2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DNZ_391_2</dc:creator>
  <cp:lastModifiedBy>DNZ_391_2</cp:lastModifiedBy>
  <cp:revision>1</cp:revision>
  <cp:lastPrinted>2019-11-28T15:43:00Z</cp:lastPrinted>
  <dcterms:created xsi:type="dcterms:W3CDTF">2019-11-28T09:13:00Z</dcterms:created>
  <dcterms:modified xsi:type="dcterms:W3CDTF">2019-11-28T15:46:00Z</dcterms:modified>
</cp:coreProperties>
</file>